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ind w:right="67" w:left="0"/>
        <w:spacing w:before="14" w:after="441" w:line="240" w:lineRule="auto"/>
        <w:jc w:val="left"/>
      </w:pPr>
      <w:r>
        <w:drawing>
          <wp:inline>
            <wp:extent cx="6129655" cy="822960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2"/>
                    <a:stretch>
                      <a:fillRect/>
                    </a:stretch>
                  </pic:blipFill>
                  <pic:spPr>
                    <a:xfrm>
                      <a:off x="0" y="0"/>
                      <a:ext cx="6129655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18" w:h="16854" w:orient="portrait"/>
          <w:type w:val="nextPage"/>
          <w:textDirection w:val="lrTb"/>
          <w:pgMar w:bottom="1549" w:top="552" w:right="1007" w:left="1131" w:header="720" w:footer="720"/>
          <w:titlePg w:val="false"/>
        </w:sectPr>
      </w:pPr>
    </w:p>
    <w:p>
      <w:pPr>
        <w:ind w:right="0" w:left="0" w:firstLine="0"/>
        <w:spacing w:before="0" w:after="0" w:line="240" w:lineRule="auto"/>
        <w:jc w:val="left"/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color="#000000" stroked="f" style="position:absolute;width:428.6pt;height:7.7pt;z-index:-1000;margin-left:63.05pt;margin-top:748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/>
                    <w:spacing w:before="0" w:after="0" w:line="154" w:lineRule="exact"/>
                    <w:jc w:val="center"/>
                  </w:pPr>
                  <w:r>
                    <w:drawing>
                      <wp:inline>
                        <wp:extent cx="5443220" cy="9779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43220" cy="97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color="#000000" stroked="f" style="position:absolute;width:428.4pt;height:7.45pt;z-index:-999;margin-left:63.25pt;margin-top:749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41" w:lineRule="exact"/>
                    <w:jc w:val="left"/>
                    <w:framePr w:hAnchor="page" w:vAnchor="page" w:x="1265" w:y="14981" w:w="8568" w:h="149" w:hSpace="0" w:vSpace="0" w:wrap="3"/>
                    <w:tabs>
                      <w:tab w:val="right" w:leader="none" w:pos="8564"/>
                    </w:tabs>
                    <w:rPr>
                      <w:b w:val="true"/>
                      <w:color w:val="#000000"/>
                      <w:sz w:val="19"/>
                      <w:lang w:val="en-US"/>
                      <w:spacing w:val="-12"/>
                      <w:w w:val="11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b w:val="true"/>
                      <w:color w:val="#000000"/>
                      <w:sz w:val="19"/>
                      <w:lang w:val="en-US"/>
                      <w:spacing w:val="-12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Total	</w:t>
                  </w:r>
                  <w:r>
                    <w:rPr>
                      <w:b w:val="true"/>
                      <w:color w:val="#000000"/>
                      <w:sz w:val="19"/>
                      <w:lang w:val="en-US"/>
                      <w:spacing w:val="0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6</w:t>
                  </w:r>
                </w:p>
              </w:txbxContent>
            </v:textbox>
          </v:shape>
        </w:pict>
      </w:r>
      <w:r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  <w:t xml:space="preserve">Reporte de solicitudes de información</w:t>
      </w:r>
    </w:p>
    <w:p>
      <w:pPr>
        <w:ind w:right="0" w:left="0" w:firstLine="0"/>
        <w:spacing w:before="0" w:after="0" w:line="213" w:lineRule="auto"/>
        <w:jc w:val="left"/>
        <w:rPr>
          <w:b w:val="true"/>
          <w:color w:val="#000000"/>
          <w:sz w:val="19"/>
          <w:lang w:val="en-US"/>
          <w:spacing w:val="-3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-3"/>
          <w:w w:val="105"/>
          <w:strike w:val="false"/>
          <w:vertAlign w:val="baseline"/>
          <w:rFonts w:ascii="Arial" w:hAnsi="Arial"/>
        </w:rPr>
        <w:t xml:space="preserve">Folio / Periodo: I23-3546 / Diciembre 2023</w:t>
      </w:r>
    </w:p>
    <w:p>
      <w:pPr>
        <w:ind w:right="3528" w:left="0" w:firstLine="0"/>
        <w:spacing w:before="36" w:after="0" w:line="268" w:lineRule="auto"/>
        <w:jc w:val="left"/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-4"/>
          <w:w w:val="105"/>
          <w:strike w:val="false"/>
          <w:vertAlign w:val="baseline"/>
          <w:rFonts w:ascii="Arial" w:hAnsi="Arial"/>
        </w:rPr>
        <w:t xml:space="preserve">Sujeto obligado: </w:t>
      </w:r>
      <w:r>
        <w:rPr>
          <w:color w:val="#000000"/>
          <w:sz w:val="19"/>
          <w:lang w:val="en-US"/>
          <w:spacing w:val="-4"/>
          <w:w w:val="100"/>
          <w:strike w:val="false"/>
          <w:vertAlign w:val="baseline"/>
          <w:rFonts w:ascii="Arial" w:hAnsi="Arial"/>
        </w:rPr>
        <w:t xml:space="preserve">Ayuntamiento de Ixtlahuacán de los Membrillos </w:t>
      </w:r>
      <w:r>
        <w:rPr>
          <w:b w:val="true"/>
          <w:color w:val="#000000"/>
          <w:sz w:val="19"/>
          <w:lang w:val="en-US"/>
          <w:spacing w:val="-1"/>
          <w:w w:val="105"/>
          <w:strike w:val="false"/>
          <w:vertAlign w:val="baseline"/>
          <w:rFonts w:ascii="Arial" w:hAnsi="Arial"/>
        </w:rPr>
        <w:t xml:space="preserve">Fecha de registro: </w:t>
      </w:r>
      <w:r>
        <w:rPr>
          <w:color w:val="#000000"/>
          <w:sz w:val="19"/>
          <w:lang w:val="en-US"/>
          <w:spacing w:val="-1"/>
          <w:w w:val="100"/>
          <w:strike w:val="false"/>
          <w:vertAlign w:val="baseline"/>
          <w:rFonts w:ascii="Arial" w:hAnsi="Arial"/>
        </w:rPr>
        <w:t xml:space="preserve">18 Enero de 2024 | </w:t>
      </w:r>
      <w:r>
        <w:rPr>
          <w:b w:val="true"/>
          <w:color w:val="#000000"/>
          <w:sz w:val="19"/>
          <w:lang w:val="en-US"/>
          <w:spacing w:val="-1"/>
          <w:w w:val="105"/>
          <w:strike w:val="false"/>
          <w:vertAlign w:val="baseline"/>
          <w:rFonts w:ascii="Arial" w:hAnsi="Arial"/>
        </w:rPr>
        <w:t xml:space="preserve">Hora: </w:t>
      </w:r>
      <w:r>
        <w:rPr>
          <w:color w:val="#000000"/>
          <w:sz w:val="19"/>
          <w:lang w:val="en-US"/>
          <w:spacing w:val="-1"/>
          <w:w w:val="100"/>
          <w:strike w:val="false"/>
          <w:vertAlign w:val="baseline"/>
          <w:rFonts w:ascii="Arial" w:hAnsi="Arial"/>
        </w:rPr>
        <w:t xml:space="preserve">12:05:39 hrs</w:t>
      </w:r>
    </w:p>
    <w:p>
      <w:pPr>
        <w:ind w:right="0" w:left="0" w:firstLine="0"/>
        <w:spacing w:before="0" w:after="0" w:line="240" w:lineRule="auto"/>
        <w:jc w:val="left"/>
        <w:rPr>
          <w:b w:val="true"/>
          <w:color w:val="#000000"/>
          <w:sz w:val="19"/>
          <w:lang w:val="en-US"/>
          <w:spacing w:val="0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0"/>
          <w:w w:val="105"/>
          <w:strike w:val="false"/>
          <w:vertAlign w:val="baseline"/>
          <w:rFonts w:ascii="Arial" w:hAnsi="Arial"/>
        </w:rPr>
        <w:t xml:space="preserve">Tipo de entrega: </w:t>
      </w:r>
      <w:r>
        <w:rPr>
          <w:color w:val="#000000"/>
          <w:sz w:val="19"/>
          <w:lang w:val="en-US"/>
          <w:spacing w:val="0"/>
          <w:w w:val="100"/>
          <w:strike w:val="false"/>
          <w:vertAlign w:val="baseline"/>
          <w:rFonts w:ascii="Arial" w:hAnsi="Arial"/>
        </w:rPr>
        <w:t xml:space="preserve">Electrónica</w:t>
      </w:r>
    </w:p>
    <w:p>
      <w:pPr>
        <w:ind w:right="0" w:left="0" w:firstLine="0"/>
        <w:spacing w:before="0" w:after="216" w:line="208" w:lineRule="auto"/>
        <w:jc w:val="left"/>
        <w:rPr>
          <w:b w:val="true"/>
          <w:color w:val="#000000"/>
          <w:sz w:val="19"/>
          <w:lang w:val="en-US"/>
          <w:spacing w:val="-2"/>
          <w:w w:val="105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9"/>
          <w:lang w:val="en-US"/>
          <w:spacing w:val="-2"/>
          <w:w w:val="105"/>
          <w:strike w:val="false"/>
          <w:vertAlign w:val="baseline"/>
          <w:rFonts w:ascii="Arial" w:hAnsi="Arial"/>
        </w:rPr>
        <w:t xml:space="preserve">Usuario: </w:t>
      </w:r>
      <w:r>
        <w:rPr>
          <w:color w:val="#000000"/>
          <w:sz w:val="19"/>
          <w:lang w:val="en-US"/>
          <w:spacing w:val="-2"/>
          <w:w w:val="100"/>
          <w:strike w:val="false"/>
          <w:vertAlign w:val="baseline"/>
          <w:rFonts w:ascii="Arial" w:hAnsi="Arial"/>
        </w:rPr>
        <w:t xml:space="preserve">ID 1086</w:t>
      </w:r>
    </w:p>
    <w:tbl>
      <w:tblPr>
        <w:jc w:val="left"/>
        <w:tblInd w:w="14" w:type="dxa"/>
        <w:tblLayout w:type="fixed"/>
        <w:tblCellMar>
          <w:left w:w="0" w:type="dxa"/>
          <w:right w:w="0" w:type="dxa"/>
        </w:tblCellMar>
      </w:tblPr>
      <w:tblGrid>
        <w:gridCol w:w="8170"/>
        <w:gridCol w:w="912"/>
      </w:tblGrid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BDBDBD" w:fill="#BDBDBD"/>
          </w:tcPr>
          <w:p>
            <w:pPr>
              <w:ind w:right="0" w:left="9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I. Solicitudes de información recibidas en este mes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BDBDBD" w:fill="#BDBDBD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4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4"/>
                <w:w w:val="105"/>
                <w:strike w:val="false"/>
                <w:vertAlign w:val="baseline"/>
                <w:rFonts w:ascii="Arial" w:hAnsi="Arial"/>
              </w:rPr>
              <w:t xml:space="preserve">1.1. Medio de presentación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1.1.1. Física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1.1.2. Vía Infomex - PNT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6</w:t>
            </w:r>
          </w:p>
        </w:tc>
      </w:tr>
      <w:tr>
        <w:trPr>
          <w:trHeight w:val="91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top"/>
            <w:shd w:val="clear" w:color="#DDDDDD" w:fill="#DDDDDD"/>
          </w:tcPr>
          <w:p>
            <w:pPr>
              <w:ind w:right="3672" w:left="72" w:firstLine="504"/>
              <w:spacing w:before="0" w:after="0" w:line="251" w:lineRule="exact"/>
              <w:jc w:val="left"/>
              <w:rPr>
                <w:color w:val="#000000"/>
                <w:sz w:val="19"/>
                <w:lang w:val="en-US"/>
                <w:spacing w:val="-3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-3"/>
                <w:w w:val="100"/>
                <w:strike w:val="false"/>
                <w:vertAlign w:val="baseline"/>
                <w:rFonts w:ascii="Arial" w:hAnsi="Arial"/>
              </w:rPr>
              <w:t xml:space="preserve">1.1.3. Vía electrónica distinta a Infomex - PNT </w:t>
            </w:r>
            <w:r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Total de solicitudes recibidas este mes</w:t>
            </w:r>
          </w:p>
          <w:p>
            <w:pPr>
              <w:ind w:right="0" w:left="271" w:firstLine="0"/>
              <w:spacing w:before="108" w:after="0" w:line="247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1.2. Incompetencias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DDDDDD" w:fill="#DDDDDD"/>
          </w:tcPr>
          <w:p>
            <w:pPr>
              <w:ind w:right="0" w:left="0" w:firstLine="0"/>
              <w:spacing w:before="0" w:after="0" w:line="36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5
</w:t>
              <w:br/>
            </w: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11</w:t>
            </w:r>
          </w:p>
        </w:tc>
      </w:tr>
      <w:tr>
        <w:trPr>
          <w:trHeight w:val="91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top"/>
            <w:shd w:val="clear" w:color="#DDDDDD" w:fill="#DDDDDD"/>
          </w:tcPr>
          <w:p>
            <w:pPr>
              <w:ind w:right="3348" w:left="72" w:firstLine="504"/>
              <w:spacing w:before="0" w:after="0" w:line="268" w:lineRule="exact"/>
              <w:jc w:val="left"/>
              <w:rPr>
                <w:color w:val="#000000"/>
                <w:sz w:val="19"/>
                <w:lang w:val="en-US"/>
                <w:spacing w:val="2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2"/>
                <w:w w:val="100"/>
                <w:strike w:val="false"/>
                <w:vertAlign w:val="baseline"/>
                <w:rFonts w:ascii="Arial" w:hAnsi="Arial"/>
              </w:rPr>
              <w:t xml:space="preserve">1.2.1. Solicitudes derivadas por incompetencia </w:t>
            </w: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Total de solicitudes de información para resolución</w:t>
            </w:r>
          </w:p>
          <w:p>
            <w:pPr>
              <w:ind w:right="0" w:left="72" w:firstLine="0"/>
              <w:spacing w:before="72" w:after="0" w:line="215" w:lineRule="exact"/>
              <w:jc w:val="left"/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II. Solicitudes de información resueltas en este mes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DDDDDD" w:fill="#DDDDDD"/>
          </w:tcPr>
          <w:p>
            <w:pPr>
              <w:ind w:right="0" w:left="0" w:firstLine="0"/>
              <w:spacing w:before="0" w:after="0" w:line="36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
</w:t>
              <w:br/>
            </w: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11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  <w:t xml:space="preserve">2.1. Afirmativa (Procedente)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b w:val="true"/>
                <w:color w:val="#000000"/>
                <w:sz w:val="19"/>
                <w:lang w:val="en-US"/>
                <w:spacing w:val="0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5"/>
                <w:strike w:val="false"/>
                <w:vertAlign w:val="baseline"/>
                <w:rFonts w:ascii="Arial" w:hAnsi="Arial"/>
              </w:rPr>
              <w:t xml:space="preserve">4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3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3"/>
                <w:w w:val="105"/>
                <w:strike w:val="false"/>
                <w:vertAlign w:val="baseline"/>
                <w:rFonts w:ascii="Arial" w:hAnsi="Arial"/>
              </w:rPr>
              <w:t xml:space="preserve">2.2. Afirmativa parcial (Procedente parcial)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2.2.1. Por tratarse de información reservada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2.2.2. Por tratarse de información confidencial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2.2.3. Por inexistencia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  <w:t xml:space="preserve">2.3. Negativa (Improcedente)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2.3.1. Por tratarse de información reservada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2.3.2. Por tratarse de información confidencial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2.3.3. Por inexistencia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5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2.3.4. Rechazada por no cumplir con los requisitos de ley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91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top"/>
            <w:shd w:val="clear" w:color="#DDDDDD" w:fill="#DDDDDD"/>
          </w:tcPr>
          <w:p>
            <w:pPr>
              <w:ind w:right="1980" w:left="72" w:firstLine="504"/>
              <w:spacing w:before="0" w:after="0" w:line="249" w:lineRule="exact"/>
              <w:jc w:val="left"/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-2"/>
                <w:w w:val="100"/>
                <w:strike w:val="false"/>
                <w:vertAlign w:val="baseline"/>
                <w:rFonts w:ascii="Arial" w:hAnsi="Arial"/>
              </w:rPr>
              <w:t xml:space="preserve">2.3.5. Es ajena al ejercicio del derecho de acceso a la información </w:t>
            </w:r>
            <w:r>
              <w:rPr>
                <w:b w:val="true"/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Total de solicitudes resueltas este mes</w:t>
            </w:r>
          </w:p>
          <w:p>
            <w:pPr>
              <w:ind w:right="0" w:left="72" w:firstLine="0"/>
              <w:spacing w:before="108" w:after="0" w:line="249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III. Tipo de información solicitada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DDDDDD" w:fill="#DDDDDD"/>
          </w:tcPr>
          <w:p>
            <w:pPr>
              <w:ind w:right="0" w:left="0" w:firstLine="0"/>
              <w:spacing w:before="0" w:after="0" w:line="36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
</w:t>
              <w:br/>
            </w: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11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  <w:t xml:space="preserve">3.1. Libre acceso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3.1.1. Fundamental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4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3.1.2. Ordinaria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2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-2"/>
                <w:w w:val="105"/>
                <w:strike w:val="false"/>
                <w:vertAlign w:val="baseline"/>
                <w:rFonts w:ascii="Arial" w:hAnsi="Arial"/>
              </w:rPr>
              <w:t xml:space="preserve">3.2. Protegida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left"/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20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54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3.2.1. Reservada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91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top"/>
            <w:shd w:val="clear" w:color="#DDDDDD" w:fill="#DDDDDD"/>
          </w:tcPr>
          <w:p>
            <w:pPr>
              <w:ind w:right="0" w:left="541" w:firstLine="0"/>
              <w:spacing w:before="36" w:after="0" w:line="213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3.2.2. Confidencial</w:t>
            </w:r>
          </w:p>
          <w:p>
            <w:pPr>
              <w:ind w:right="0" w:left="91" w:firstLine="0"/>
              <w:spacing w:before="144" w:after="0" w:line="204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Total</w:t>
            </w:r>
          </w:p>
          <w:p>
            <w:pPr>
              <w:ind w:right="0" w:left="91" w:firstLine="0"/>
              <w:spacing w:before="72" w:after="0" w:line="208" w:lineRule="auto"/>
              <w:jc w:val="left"/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IV. Medios de acceso a la información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top"/>
            <w:shd w:val="clear" w:color="#DDDDDD" w:fill="#DDDDDD"/>
          </w:tcPr>
          <w:p>
            <w:pPr>
              <w:ind w:right="0" w:left="0" w:firstLine="0"/>
              <w:spacing w:before="0" w:after="0" w:line="208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  <w:p>
            <w:pPr>
              <w:ind w:right="0" w:left="0" w:firstLine="0"/>
              <w:spacing w:before="108" w:after="0" w:line="208" w:lineRule="auto"/>
              <w:jc w:val="center"/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b w:val="true"/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6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4.1. Consulta directa personal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4.2. Consulta directa electrónica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6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4.3. Reproducción de documentos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single" w:sz="5" w:color="#000000"/>
              <w:bottom w:val="single" w:sz="5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4.4. Elaboración de informes específicos</w:t>
            </w:r>
          </w:p>
        </w:tc>
        <w:tc>
          <w:tcPr>
            <w:gridSpan w:val="1"/>
            <w:tcBorders>
              <w:top w:val="single" w:sz="5" w:color="#000000"/>
              <w:bottom w:val="single" w:sz="5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  <w:tr>
        <w:trPr>
          <w:trHeight w:val="307" w:hRule="exact"/>
        </w:trPr>
        <w:tc>
          <w:tcPr>
            <w:gridSpan w:val="1"/>
            <w:tcBorders>
              <w:top w:val="single" w:sz="5" w:color="#000000"/>
              <w:bottom w:val="none" w:sz="0" w:color="#000000"/>
              <w:left w:val="single" w:sz="5" w:color="#000000"/>
              <w:right w:val="none" w:sz="0" w:color="#000000"/>
            </w:tcBorders>
            <w:tcW w:w="8184" w:type="auto"/>
            <w:textDirection w:val="lrTb"/>
            <w:vAlign w:val="center"/>
            <w:shd w:val="clear" w:color="#F2F2F2" w:fill="#F2F2F2"/>
          </w:tcPr>
          <w:p>
            <w:pPr>
              <w:ind w:right="0" w:left="271" w:firstLine="0"/>
              <w:spacing w:before="0" w:after="0" w:line="240" w:lineRule="auto"/>
              <w:jc w:val="left"/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1"/>
                <w:w w:val="100"/>
                <w:strike w:val="false"/>
                <w:vertAlign w:val="baseline"/>
                <w:rFonts w:ascii="Arial" w:hAnsi="Arial"/>
              </w:rPr>
              <w:t xml:space="preserve">4.5. Combinación de las anteriores</w:t>
            </w:r>
          </w:p>
        </w:tc>
        <w:tc>
          <w:tcPr>
            <w:gridSpan w:val="1"/>
            <w:tcBorders>
              <w:top w:val="single" w:sz="5" w:color="#000000"/>
              <w:bottom w:val="none" w:sz="0" w:color="#000000"/>
              <w:left w:val="none" w:sz="0" w:color="#000000"/>
              <w:right w:val="single" w:sz="5" w:color="#000000"/>
            </w:tcBorders>
            <w:tcW w:w="9096" w:type="auto"/>
            <w:textDirection w:val="lrTb"/>
            <w:vAlign w:val="center"/>
            <w:shd w:val="clear" w:color="#F2F2F2" w:fill="#F2F2F2"/>
          </w:tcPr>
          <w:p>
            <w:pPr>
              <w:ind w:right="0" w:left="0" w:firstLine="0"/>
              <w:spacing w:before="0" w:after="0" w:line="240" w:lineRule="auto"/>
              <w:jc w:val="center"/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</w:pPr>
            <w:r>
              <w:rPr>
                <w:color w:val="#000000"/>
                <w:sz w:val="19"/>
                <w:lang w:val="en-US"/>
                <w:spacing w:val="0"/>
                <w:w w:val="100"/>
                <w:strike w:val="false"/>
                <w:vertAlign w:val="baseline"/>
                <w:rFonts w:ascii="Arial" w:hAnsi="Arial"/>
              </w:rPr>
              <w:t xml:space="preserve">0</w:t>
            </w:r>
          </w:p>
        </w:tc>
      </w:tr>
    </w:tbl>
    <w:sectPr>
      <w:pgSz w:w="11918" w:h="16854" w:orient="portrait"/>
      <w:type w:val="continuous"/>
      <w:textDirection w:val="lrTb"/>
      <w:pgMar w:bottom="1549" w:top="552" w:right="1598" w:left="116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1.png" Id="drId2" /><Relationship Type="http://schemas.openxmlformats.org/officeDocument/2006/relationships/image" Target="/word/media/image2.png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3" /></Relationships>
</file>